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E4B43" w:rsidRPr="00D45472" w:rsidRDefault="002B44CC" w:rsidP="006439F4">
      <w:pPr>
        <w:jc w:val="center"/>
        <w:rPr>
          <w:rFonts w:ascii="Georgia" w:hAnsi="Georgia"/>
          <w:b/>
          <w:sz w:val="32"/>
        </w:rPr>
      </w:pPr>
      <w:r w:rsidRPr="00D45472">
        <w:rPr>
          <w:rFonts w:ascii="Georgia" w:hAnsi="Georgia"/>
          <w:b/>
          <w:sz w:val="32"/>
        </w:rPr>
        <w:t>Příloha VI</w:t>
      </w:r>
      <w:r w:rsidR="009E4B43" w:rsidRPr="00D45472">
        <w:rPr>
          <w:rFonts w:ascii="Georgia" w:hAnsi="Georgia"/>
          <w:b/>
          <w:sz w:val="32"/>
        </w:rPr>
        <w:t xml:space="preserve"> - Uznatelné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Uznatelné výdaje lze obecně definovat jako ty skutečně vynaložené výdaje, které lze hradit z dotace a o jejichž úhradu může žadatel o dotaci žádat v souvislosti se schváleným projektem české dvoustranné zahraniční rozvojové spolupráce, jehož realizace bude probíhat v zemi, které daná podpora přísluší.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Pravidla pro zařazení a prokázání uznatelných výdajů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Uznatelné výdaje musí splňovat následující podmínky: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Výdaj musí příjemci dotace či jeho partnerovi vzniknout v době realizace projektu tak, jak je definováno ve smlouvě se zadavatelem</w:t>
      </w:r>
      <w:r w:rsidR="00EE31B3" w:rsidRPr="00D45472">
        <w:rPr>
          <w:rFonts w:ascii="Georgia" w:hAnsi="Georgia"/>
          <w:sz w:val="22"/>
        </w:rPr>
        <w:t>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Výdaj musí být stanoven pro realizaci příslušného projektu a musí být obsažen v rozpočtu projektů.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1. Osobní a cestovní výdaje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Osobní a cestovní výdaje na zaměstnance příjemce dotace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Osobní a cestovní výdaje na externí spolupracovníky příjemce dotace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na pobyt zástupců spolupracujících subjektů v ČR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lastRenderedPageBreak/>
        <w:t>2. Vybavení a dodávky zboží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na pořízení dlouhodobého hmotného a nehmotného majetku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D45472">
        <w:rPr>
          <w:rFonts w:ascii="Georgia" w:hAnsi="Georgia"/>
          <w:sz w:val="22"/>
        </w:rPr>
        <w:t>technicko-ekonomickým</w:t>
      </w:r>
      <w:proofErr w:type="spellEnd"/>
      <w:r w:rsidRPr="00D45472">
        <w:rPr>
          <w:rFonts w:ascii="Georgia" w:hAnsi="Georgia"/>
          <w:sz w:val="22"/>
        </w:rPr>
        <w:t xml:space="preserve"> určením s dobou použitelnosti delší než 1 rok) a dlouhodobého nehmotného </w:t>
      </w:r>
      <w:proofErr w:type="gramStart"/>
      <w:r w:rsidRPr="00D45472">
        <w:rPr>
          <w:rFonts w:ascii="Georgia" w:hAnsi="Georgia"/>
          <w:sz w:val="22"/>
        </w:rPr>
        <w:t>majetku  (software</w:t>
      </w:r>
      <w:proofErr w:type="gramEnd"/>
      <w:r w:rsidRPr="00D45472">
        <w:rPr>
          <w:rFonts w:ascii="Georgia" w:hAnsi="Georgia"/>
          <w:sz w:val="22"/>
        </w:rPr>
        <w:t xml:space="preserve">, nehmotné výsledky výzkumu apod.) jsou uznatelné, pokud: </w:t>
      </w:r>
    </w:p>
    <w:p w:rsidR="009E4B43" w:rsidRPr="00D45472" w:rsidRDefault="009E4B43" w:rsidP="009E4B43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je jejich vynaložení nezbytné pro přímou realizaci příslušného projektu,</w:t>
      </w:r>
    </w:p>
    <w:p w:rsidR="009E4B43" w:rsidRPr="00D45472" w:rsidRDefault="009E4B43" w:rsidP="009E4B43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E4B43" w:rsidRPr="00D45472" w:rsidRDefault="009E4B43" w:rsidP="009E4B43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bude pořízený majetek předán konečnému příjemci pomoci (jak </w:t>
      </w:r>
      <w:proofErr w:type="gramStart"/>
      <w:r w:rsidRPr="00D45472">
        <w:rPr>
          <w:rFonts w:ascii="Georgia" w:hAnsi="Georgia"/>
          <w:sz w:val="22"/>
        </w:rPr>
        <w:t>bude</w:t>
      </w:r>
      <w:proofErr w:type="gramEnd"/>
      <w:r w:rsidRPr="00D45472">
        <w:rPr>
          <w:rFonts w:ascii="Georgia" w:hAnsi="Georgia"/>
          <w:sz w:val="22"/>
        </w:rPr>
        <w:t xml:space="preserve"> s nabytým majetkem naloženo </w:t>
      </w:r>
      <w:proofErr w:type="gramStart"/>
      <w:r w:rsidRPr="00D45472">
        <w:rPr>
          <w:rFonts w:ascii="Georgia" w:hAnsi="Georgia"/>
          <w:sz w:val="22"/>
        </w:rPr>
        <w:t>musí</w:t>
      </w:r>
      <w:proofErr w:type="gramEnd"/>
      <w:r w:rsidRPr="00D45472">
        <w:rPr>
          <w:rFonts w:ascii="Georgia" w:hAnsi="Georgia"/>
          <w:sz w:val="22"/>
        </w:rPr>
        <w:t xml:space="preserve"> být zřejmé již ve fázi návrhu projektu),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na pořízení drobného hmotného majetku, na spotřební materiál a na energie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 Výdaje na nákup spotřebního materiálu a pohonných hmot jsou uznatelným </w:t>
      </w:r>
      <w:proofErr w:type="gramStart"/>
      <w:r w:rsidRPr="00D45472">
        <w:rPr>
          <w:rFonts w:ascii="Georgia" w:hAnsi="Georgia"/>
          <w:sz w:val="22"/>
        </w:rPr>
        <w:t>nákladem pouze</w:t>
      </w:r>
      <w:proofErr w:type="gramEnd"/>
      <w:r w:rsidRPr="00D45472">
        <w:rPr>
          <w:rFonts w:ascii="Georgia" w:hAnsi="Georgia"/>
          <w:sz w:val="22"/>
        </w:rPr>
        <w:t xml:space="preserve">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Odpisy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E4B43" w:rsidRPr="00D45472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odpisy se týkají dlouhodobého hmotného a nehmotného majetku, který je používán přímo v souvislosti se schváleným projektem,</w:t>
      </w:r>
    </w:p>
    <w:p w:rsidR="009E4B43" w:rsidRPr="00D45472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pořízení tohoto majetku nebylo dříve financováno za podpory státní dotace,</w:t>
      </w:r>
    </w:p>
    <w:p w:rsidR="009E4B43" w:rsidRPr="00D45472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amortizační výdaje byly určeny v souladu s příslušnými zákonnými předpisy,</w:t>
      </w:r>
    </w:p>
    <w:p w:rsidR="009E4B43" w:rsidRPr="00D45472" w:rsidRDefault="009E4B43" w:rsidP="009E4B43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odpisy se vztahují pouze na období realizace projektu, resp. na období, v nichž je daná činnost spolufinancována.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Příjemce dotace, který chce uplatnit odpisy jako uznatelný výdaj, musí doložit pořizovací cenu majetku, který bude odepisovat.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lastRenderedPageBreak/>
        <w:t>3. Přímé výdaje v místě realizace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související s využíváním prostor pro účely projektu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4. Subdodávky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5. Odměny notářů za ověření dokumentů jsou uznatelnými výdaji, pokud byly vynaloženy v souvislosti s realizací projektu.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7. Výdaje na pohoštění jsou uznatelným </w:t>
      </w:r>
      <w:proofErr w:type="gramStart"/>
      <w:r w:rsidRPr="00D45472">
        <w:rPr>
          <w:rFonts w:ascii="Georgia" w:hAnsi="Georgia"/>
          <w:sz w:val="22"/>
        </w:rPr>
        <w:t>výdajem pouze</w:t>
      </w:r>
      <w:proofErr w:type="gramEnd"/>
      <w:r w:rsidRPr="00D45472">
        <w:rPr>
          <w:rFonts w:ascii="Georgia" w:hAnsi="Georgia"/>
          <w:sz w:val="22"/>
        </w:rPr>
        <w:t xml:space="preserve">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lastRenderedPageBreak/>
        <w:t>Nepřímé výdaje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E4B43" w:rsidRPr="00D45472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nepřekročí výši 7 % uznatelných nákladů projektu</w:t>
      </w:r>
    </w:p>
    <w:p w:rsidR="009E4B43" w:rsidRPr="00D45472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nezahrnují výdaje hrazené v rámci jiných položek rozpočtu projektu;</w:t>
      </w:r>
    </w:p>
    <w:p w:rsidR="009E4B43" w:rsidRPr="00D45472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příjemce dotace není příjemcem provozní dotace ze zdrojů zadavatele.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Výdaje na daně a poplatky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Pojištění léčebných výloh (event. úrazové pojištění) a zdra</w:t>
      </w:r>
      <w:r w:rsidR="00C667E2" w:rsidRPr="00D45472">
        <w:rPr>
          <w:rFonts w:ascii="Georgia" w:hAnsi="Georgia"/>
          <w:sz w:val="22"/>
        </w:rPr>
        <w:t xml:space="preserve">votní příprava osob vysílaných </w:t>
      </w:r>
      <w:r w:rsidRPr="00D45472">
        <w:rPr>
          <w:rFonts w:ascii="Georgia" w:hAnsi="Georgia"/>
          <w:sz w:val="22"/>
        </w:rPr>
        <w:t>do zahraničí v souvislosti s příslušným projektem (např. očkování) jsou uznatelným výdajem.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7. Víza pro pracovníky vysílané do zahraničí v souvislosti s příslušným projektem jsou uznatelným výdajem;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E4B43" w:rsidRPr="00D45472" w:rsidRDefault="009E4B43" w:rsidP="009E4B43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Neuznatelné výdaje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Neuznatelné jsou ty výdaje příjemce dotace, které nesplňují výše uvedené podmínky pro uznatelné výdaje, tj. zejména, že 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souvisejí s jiným obdobím, než je období realizace projektu (výdaje vzniklé před datem zahájení a po dni ukončení projektu);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zřetelně nesouvisí s činností příjemce dotace pro realizovaný projekt;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není možné doložit věrohodnými a průkaznými písemnými doklady (s výjimkou nepřímých);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lastRenderedPageBreak/>
        <w:t>výdaje nejsou nezbytné pro realizaci projektu;</w:t>
      </w:r>
    </w:p>
    <w:p w:rsidR="009E4B43" w:rsidRPr="00D45472" w:rsidRDefault="009E4B43" w:rsidP="009E4B43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byly financovány z jiných dotačních zdrojů ČR.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Mezi neuznatelné výdaje příjemce dotace, patří: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přesahující limity určené poskytovatelem dotace jako maximální výše uznatelných výdajů;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výdaje na reprezentaci (pohoštění, občerstvení apod.), pokud poskytnutí občerstvení nesouvisí s realizací projektu (např. semináře, školení apod.). 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odměny členům statutárních orgánů;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výdaje na zaměstnance, kteří se na projektu přímo nepodílejí; 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DPH, pokud je příjemce dotace plátce DPH a tato daň je mu návratná, a to jakýmkoliv způsobem;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daně a poplatky, jako jsou daně z příjmů, daň darovací, daň dědická, daň z převodu nemovitostí a správní a soudní poplatky s výjimkami výše uvedenými;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dary ve smyslu reprezentace, nikoli dary ve smyslu pomoci rozvojové, transformační či humanitární doložené písemným dokladem;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pokuty a penále, popř. další sankční výdaje;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odpis pohledávek;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manka a škody;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tvorba rezerv a opravných položek;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zúčtování oprávky k opravné položce k nabytému majetku;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úroky z úvěrů a půjček, splátky půjček;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finanční leasing;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finanční výdaje, které nejsou výše uvedeny mezi uznatelnými výdaji, zejména poplatky za vedení jiného účtu než je běžný účet projektu;</w:t>
      </w:r>
    </w:p>
    <w:p w:rsidR="009E4B43" w:rsidRPr="00D45472" w:rsidRDefault="009E4B43" w:rsidP="009E4B43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na právní spory;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3E6D72" w:rsidRPr="00D45472" w:rsidRDefault="009E4B43" w:rsidP="00845815">
      <w:pPr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Neuznatelné výdaje musí příjemce dotace vždy hradit z jiných zdrojů, než jsou prostředky dvoustranné zahraniční rozvojové spolupráce ČR.</w:t>
      </w:r>
      <w:bookmarkStart w:id="0" w:name="_GoBack"/>
      <w:bookmarkEnd w:id="0"/>
    </w:p>
    <w:sectPr w:rsidR="003E6D72" w:rsidRPr="00D45472" w:rsidSect="002A36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D45472">
      <w:rPr>
        <w:noProof/>
      </w:rPr>
      <w:t>4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D4547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FFDDE5A" wp14:editId="1947CE02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80462"/>
    <w:rsid w:val="003E6D72"/>
    <w:rsid w:val="00477B81"/>
    <w:rsid w:val="004A6543"/>
    <w:rsid w:val="004B7266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2BC54F-4BBB-4F4E-97AD-0AA24347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2503</Words>
  <Characters>14774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24</cp:revision>
  <dcterms:created xsi:type="dcterms:W3CDTF">2016-11-23T08:21:00Z</dcterms:created>
  <dcterms:modified xsi:type="dcterms:W3CDTF">2017-10-02T07:56:00Z</dcterms:modified>
</cp:coreProperties>
</file>